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161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FFFFFF"/>
                <w:sz w:val="30"/>
                <w:szCs w:val="30"/>
              </w:rPr>
              <w:t xml:space="preserve">LexiPoint  vs  Palantir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i/>
                <w:iCs/>
                <w:color w:val="FA9A60"/>
                <w:sz w:val="17"/>
                <w:szCs w:val="17"/>
              </w:rPr>
              <w:t xml:space="preserve">Why they validate our market — and why we’re not competing for the same buyer.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9A6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0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30" w:before="0"/>
            </w:pPr>
            <w:r>
              <w:rPr>
                <w:rFonts w:ascii="Inter" w:cs="Inter" w:eastAsia="Inter" w:hAnsi="Inter"/>
                <w:b/>
                <w:bCs/>
                <w:color w:val="F47929"/>
                <w:spacing w:val="80"/>
                <w:sz w:val="13"/>
                <w:szCs w:val="13"/>
              </w:rPr>
              <w:t xml:space="preserve">THE BOTTOM LINE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1F2937"/>
                <w:sz w:val="17"/>
                <w:szCs w:val="17"/>
              </w:rPr>
              <w:t xml:space="preserve">Palantir is not our competitor — they’re our validation. Every headline about “government efficiency through AI” primes our buyer for the exact problem LexiPoint solves — just at the program level, not the enterprise level.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TWO COMPANIES. TWO "ONTOLOGIES." TWO DIFFERENT LAYERS.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7"/>
                <w:szCs w:val="17"/>
              </w:rPr>
              <w:t xml:space="preserve">Palantir Foundry / AIP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6B7280"/>
                <w:sz w:val="13"/>
                <w:szCs w:val="13"/>
              </w:rPr>
              <w:t xml:space="preserve">Data Integration Ontology</w:t>
            </w:r>
          </w:p>
        </w:tc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7"/>
                <w:szCs w:val="17"/>
              </w:rPr>
              <w:t xml:space="preserve">LexiPoint</w:t>
            </w:r>
          </w:p>
          <w:p>
            <w:pPr>
              <w:spacing w:after="0" w:before="0"/>
            </w:pPr>
            <w:r>
              <w:rPr>
                <w:rFonts w:ascii="Inter" w:cs="Inter" w:eastAsia="Inter" w:hAnsi="Inter"/>
                <w:color w:val="4D32F3"/>
                <w:sz w:val="13"/>
                <w:szCs w:val="13"/>
              </w:rPr>
              <w:t xml:space="preserve">Policy Logic Ontology</w:t>
            </w:r>
          </w:p>
        </w:tc>
      </w:tr>
      <w:tr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5"/>
                <w:szCs w:val="15"/>
              </w:rPr>
              <w:t xml:space="preserve">Maps raw datasets (databases, APIs, sensors) into objects and links so analysts can reason across siloed data. Horizontal infrastructure — doesn’t know whether data is benefits, supply chain, or battlefield.</w:t>
            </w:r>
          </w:p>
        </w:tc>
        <w:tc>
          <w:tcPr>
            <w:tcW w:type="dxa" w:w="5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5"/>
                <w:szCs w:val="15"/>
              </w:rPr>
              <w:t xml:space="preserve">Encodes actual regulatory rules — eligibility criteria, thresholds, conditions, dependencies — that determine whether a specific person is approved or denied. Purpose-built for government decisioning.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Inter" w:cs="Inter" w:eastAsia="Inter" w:hAnsi="Inter"/>
          <w:b/>
          <w:bCs/>
          <w:color w:val="1A0161"/>
          <w:spacing w:val="60"/>
          <w:sz w:val="14"/>
          <w:szCs w:val="14"/>
        </w:rPr>
        <w:t xml:space="preserve">HEAD-TO-HEAD COMPARISON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300"/>
        <w:gridCol w:w="4300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0161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FFFFFF"/>
                <w:sz w:val="13"/>
                <w:szCs w:val="13"/>
              </w:rPr>
              <w:t xml:space="preserve"/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1F2937"/>
                <w:sz w:val="13"/>
                <w:szCs w:val="13"/>
              </w:rPr>
              <w:t xml:space="preserve">Palantir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4D32F3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13"/>
                <w:szCs w:val="13"/>
              </w:rPr>
              <w:t xml:space="preserve">LexiPoint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What it maps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Data objects, properties, relationships across enterprise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Regulatory rules, conditions, thresholds for specific programs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Core question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"What data do we have and how is it connected?"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"Why was this person approved or denied — and what if we move a rule?"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Buyer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CIO, CDO, Defense procurement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Program directors, policy leads, agency leadership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Deal size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$5M–$50M+ multi-year enterprise contracts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5–6 figure program-level, scaling with adoption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Time to value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6–18 months with Accenture-scale integrators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5F3F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Weeks. API-first, sits between existing systems.</w:t>
            </w:r>
          </w:p>
        </w:tc>
      </w:tr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F2937"/>
                <w:sz w:val="14"/>
                <w:szCs w:val="14"/>
              </w:rPr>
              <w:t xml:space="preserve">Sweet spot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color w:val="4B5563"/>
                <w:sz w:val="14"/>
                <w:szCs w:val="14"/>
              </w:rPr>
              <w:t xml:space="preserve">DoD, IC, large federal agencies</w:t>
            </w:r>
          </w:p>
        </w:tc>
        <w:tc>
          <w:tcPr>
            <w:tcW w:type="dxa" w:w="43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DEAFD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b/>
                <w:bCs/>
                <w:color w:val="1A0161"/>
                <w:sz w:val="14"/>
                <w:szCs w:val="14"/>
              </w:rPr>
              <w:t xml:space="preserve">State &amp; local HHS, regulatory, licensing, benefits</w:t>
            </w:r>
          </w:p>
        </w:tc>
      </w:tr>
    </w:tbl>
    <w:p>
      <w:pPr>
        <w:spacing w:after="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400"/>
      </w:tblGrid>
      <w:t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D32F3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10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AFD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Inter" w:cs="Inter" w:eastAsia="Inter" w:hAnsi="Inter"/>
                <w:b/>
                <w:bCs/>
                <w:color w:val="4D32F3"/>
                <w:spacing w:val="80"/>
                <w:sz w:val="13"/>
                <w:szCs w:val="13"/>
              </w:rPr>
              <w:t xml:space="preserve">HOW TO POSITION IN CONVERSATION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“Palantir proved the market believes gov needs an intelligence layer between data and decisions. We built one purpose-made for regulatory decisioning.”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“Palantir connects data. LexiPoint reasons over policy. An agency can run both — they’re complementary layers.”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Inter" w:cs="Inter" w:eastAsia="Inter" w:hAnsi="Inter"/>
                <w:i/>
                <w:iCs/>
                <w:color w:val="1A0161"/>
                <w:sz w:val="15"/>
                <w:szCs w:val="15"/>
              </w:rPr>
              <w:t xml:space="preserve">“Every DOGE headline about efficiency through AI primes our buyer for the problem we solve — at a price point that works for state and local, not just the Pentagon.”</w:t>
            </w:r>
          </w:p>
        </w:tc>
      </w:tr>
    </w:tbl>
    <w:p>
      <w:pPr>
        <w:spacing w:after="0" w:before="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E7EDEC" w:sz="4"/>
              <w:left w:val="none" w:color="FFFFFF" w:sz="0"/>
              <w:bottom w:val="none" w:color="FFFFFF" w:sz="0"/>
              <w:right w:val="none" w:color="FFFFFF" w:sz="0"/>
            </w:tcBorders>
            <w:shd w:fill="F9FAF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i/>
                <w:iCs/>
                <w:color w:val="4D32F3"/>
                <w:sz w:val="15"/>
                <w:szCs w:val="15"/>
              </w:rPr>
              <w:t xml:space="preserve">LexiPoint captures the program-level layer they’ll never build. </w:t>
            </w:r>
            <w:r>
              <w:rPr>
                <w:rFonts w:ascii="Inter" w:cs="Inter" w:eastAsia="Inter" w:hAnsi="Inter"/>
                <w:i/>
                <w:iCs/>
                <w:color w:val="6B7280"/>
                <w:sz w:val="15"/>
                <w:szCs w:val="15"/>
              </w:rPr>
              <w:t xml:space="preserve">$970M+ in Palantir contracts validates the market.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540" w:right="540" w:bottom="50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DEC" w:sz="3" w:space="3"/>
      </w:pBdr>
    </w:pPr>
    <w:r>
      <w:rPr>
        <w:rFonts w:ascii="Inter" w:cs="Inter" w:eastAsia="Inter" w:hAnsi="Inter"/>
        <w:b/>
        <w:bCs/>
        <w:color w:val="6B7280"/>
        <w:spacing w:val="60"/>
        <w:sz w:val="11"/>
        <w:szCs w:val="11"/>
      </w:rPr>
      <w:t xml:space="preserve">CONFIDENTIAL</w:t>
    </w:r>
    <w:r>
      <w:rPr>
        <w:rFonts w:ascii="Inter" w:cs="Inter" w:eastAsia="Inter" w:hAnsi="Inter"/>
        <w:color w:val="6B7280"/>
        <w:sz w:val="11"/>
        <w:szCs w:val="11"/>
      </w:rPr>
      <w:t xml:space="preserve">  |  LexiPoint Inc.  |  lexipoint.io  |  March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A9A60" w:sz="10" w:space="3"/>
      </w:pBdr>
      <w:spacing w:after="0"/>
    </w:pPr>
    <w:r>
      <w:rPr>
        <w:rFonts w:ascii="Inter" w:cs="Inter" w:eastAsia="Inter" w:hAnsi="Inter"/>
        <w:b/>
        <w:bCs/>
        <w:color w:val="1A0161"/>
        <w:spacing w:val="100"/>
        <w:sz w:val="12"/>
        <w:szCs w:val="12"/>
      </w:rPr>
      <w:t xml:space="preserve">LEXIPOINT</w:t>
    </w:r>
    <w:r>
      <w:rPr>
        <w:rFonts w:ascii="Inter" w:cs="Inter" w:eastAsia="Inter" w:hAnsi="Inter"/>
        <w:b/>
        <w:bCs/>
        <w:color w:val="6B7280"/>
        <w:spacing w:val="60"/>
        <w:sz w:val="12"/>
        <w:szCs w:val="12"/>
      </w:rPr>
      <w:t xml:space="preserve">    COMPETITIVE BATTLECARD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80" w:hanging="1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2026-03-22T23:49:10.360Z</dcterms:created>
  <dcterms:modified xsi:type="dcterms:W3CDTF">2026-03-22T23:49:10.360Z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