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161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30"/>
                <w:szCs w:val="30"/>
              </w:rPr>
              <w:t xml:space="preserve">LexiPoint  vs  Legacy Rules Engines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i/>
                <w:iCs/>
                <w:color w:val="FA9A60"/>
                <w:sz w:val="17"/>
                <w:szCs w:val="17"/>
              </w:rPr>
              <w:t xml:space="preserve">Drools · IBM ODM · FICO Blaze Advisor — built for banking, not benefits.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9A6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Inter" w:cs="Inter" w:eastAsia="Inter" w:hAnsi="Inter"/>
                <w:b/>
                <w:bCs/>
                <w:color w:val="F47929"/>
                <w:spacing w:val="80"/>
                <w:sz w:val="13"/>
                <w:szCs w:val="13"/>
              </w:rPr>
              <w:t xml:space="preserve">THE BOTTOM LINE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1F2937"/>
                <w:sz w:val="17"/>
                <w:szCs w:val="17"/>
              </w:rPr>
              <w:t xml:space="preserve">Legacy rules engines execute if/then logic at scale — that’s 2005 valuable. They can’t explain decisions in human terms, model what happens when policy changes, or adapt without dev cycles. LexiPoint is AI-native policy intelligence, not just rule execution.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DIFFERENT ERA, DIFFERENT ARCHITECTURE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Legacy Rules Engines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6B7280"/>
                <w:sz w:val="13"/>
                <w:szCs w:val="13"/>
              </w:rPr>
              <w:t xml:space="preserve">Rule execution platforms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7"/>
                <w:szCs w:val="17"/>
              </w:rPr>
              <w:t xml:space="preserve">LexiPoint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D32F3"/>
                <w:sz w:val="13"/>
                <w:szCs w:val="13"/>
              </w:rPr>
              <w:t xml:space="preserve">Policy intelligence infrastructure</w:t>
            </w:r>
          </w:p>
        </w:tc>
      </w:tr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5"/>
                <w:szCs w:val="15"/>
              </w:rPr>
              <w:t xml:space="preserve">Enterprise systems from financial services. Rules coded by devs in proprietary languages. Changes require dev cycles. Decisions are binary outputs — no reasoning trail for humans.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5"/>
                <w:szCs w:val="15"/>
              </w:rPr>
              <w:t xml:space="preserve">Purpose-built for gov regulatory programs. Rules as structured ontology, editable by policy staff. Every decision includes human-readable explanation. Impact modeling tests changes before they take effect.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HEAD-TO-HEAD COMPARISON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1F2937"/>
                <w:sz w:val="13"/>
                <w:szCs w:val="13"/>
              </w:rPr>
              <w:t xml:space="preserve">Legacy Engines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4D32F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13"/>
                <w:szCs w:val="13"/>
              </w:rPr>
              <w:t xml:space="preserve">LexiPoint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Core purpose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Execute business rules at scale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Reason over regulatory policy and explain decisions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Rule authoring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Developers write DRL/ILOG/proprietary code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Policy staff manage via admin UI — no code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Explainability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Returns pass/fail. “Why” requires custom work.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Every decision explains which rules fired and why.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Impact modeling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Not available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Core feature — what-if scenario modeling built in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AI integration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Bolted on (if at all)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AI-native: reasoning, generation, explainability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Rule changes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Dev cycle: code, test, deploy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Admin UI update, immediate re-evaluation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32F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AF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4D32F3"/>
                <w:spacing w:val="80"/>
                <w:sz w:val="13"/>
                <w:szCs w:val="13"/>
              </w:rPr>
              <w:t xml:space="preserve">HOW TO POSITION IN CONVERSATION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“Drools and ODM execute rules. LexiPoint explains, audits, and models the impact of change. Different layers.”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“Your engine says ‘denied.’ LexiPoint says ‘denied because income of $3,100 exceeded the $2,900 threshold in CAP-009, a blocking rule.’ That’s what caseworkers and auditors need.”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“If you already have a rules engine, LexiPoint adds the intelligence and explainability layer legacy engines were never designed to provide.”</w:t>
            </w:r>
          </w:p>
        </w:tc>
      </w:tr>
    </w:tbl>
    <w:p>
      <w:pPr>
        <w:spacing w:after="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E7EDEC" w:sz="4"/>
              <w:left w:val="none" w:color="FFFFFF" w:sz="0"/>
              <w:bottom w:val="none" w:color="FFFFFF" w:sz="0"/>
              <w:right w:val="none" w:color="FFFFFF" w:sz="0"/>
            </w:tcBorders>
            <w:shd w:fill="F9FA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4D32F3"/>
                <w:sz w:val="15"/>
                <w:szCs w:val="15"/>
              </w:rPr>
              <w:t xml:space="preserve">Legacy engines execute rules. </w:t>
            </w:r>
            <w:r>
              <w:rPr>
                <w:rFonts w:ascii="Inter" w:cs="Inter" w:eastAsia="Inter" w:hAnsi="Inter"/>
                <w:i/>
                <w:iCs/>
                <w:color w:val="6B7280"/>
                <w:sz w:val="15"/>
                <w:szCs w:val="15"/>
              </w:rPr>
              <w:t xml:space="preserve">LexiPoint reasons over policy.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540" w:right="540" w:bottom="5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DEC" w:sz="3" w:space="3"/>
      </w:pBdr>
    </w:pPr>
    <w:r>
      <w:rPr>
        <w:rFonts w:ascii="Inter" w:cs="Inter" w:eastAsia="Inter" w:hAnsi="Inter"/>
        <w:b/>
        <w:bCs/>
        <w:color w:val="6B7280"/>
        <w:spacing w:val="60"/>
        <w:sz w:val="11"/>
        <w:szCs w:val="11"/>
      </w:rPr>
      <w:t xml:space="preserve">CONFIDENTIAL</w:t>
    </w:r>
    <w:r>
      <w:rPr>
        <w:rFonts w:ascii="Inter" w:cs="Inter" w:eastAsia="Inter" w:hAnsi="Inter"/>
        <w:color w:val="6B7280"/>
        <w:sz w:val="11"/>
        <w:szCs w:val="11"/>
      </w:rPr>
      <w:t xml:space="preserve">  |  LexiPoint Inc.  |  lexipoint.io  | 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A9A60" w:sz="10" w:space="3"/>
      </w:pBdr>
      <w:spacing w:after="0"/>
    </w:pPr>
    <w:r>
      <w:rPr>
        <w:rFonts w:ascii="Inter" w:cs="Inter" w:eastAsia="Inter" w:hAnsi="Inter"/>
        <w:b/>
        <w:bCs/>
        <w:color w:val="1A0161"/>
        <w:spacing w:val="100"/>
        <w:sz w:val="12"/>
        <w:szCs w:val="12"/>
      </w:rPr>
      <w:t xml:space="preserve">LEXIPOINT</w:t>
    </w:r>
    <w:r>
      <w:rPr>
        <w:rFonts w:ascii="Inter" w:cs="Inter" w:eastAsia="Inter" w:hAnsi="Inter"/>
        <w:b/>
        <w:bCs/>
        <w:color w:val="6B7280"/>
        <w:spacing w:val="60"/>
        <w:sz w:val="12"/>
        <w:szCs w:val="12"/>
      </w:rPr>
      <w:t xml:space="preserve">    COMPETITIVE BATTLECARD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2026-03-22T23:49:10.367Z</dcterms:created>
  <dcterms:modified xsi:type="dcterms:W3CDTF">2026-03-22T23:49:10.367Z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