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LexiPoint  vs  GovTech AI Landscape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Evisort · Socure · ID.me · Civilla — adjacent, not competitive.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The govtech AI space is hot but crowded with point solutions. Document AI, identity verification, fraud detection, form simplification — all real. None encode the regulatory logic that determines outcomes. That’s LexiPoint’s lane, and nobody else is in it.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WHERE LEXIPOINT FITS IN THE GOVTECH AI MAP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What They Do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Evisort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AI contract analysis — extracts terms from docs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Regulatory decisioning — reasons over policy rules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Socure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Identity verification and fraud scoring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Policy logic — determines qualification, not identity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ID.me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Digital identity proofing for benefits access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Decision intelligence after identity is confirmed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Civilla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Form simplification and human-centered design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Policy reasoning engine behind the form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Palantir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Enterprise data integration ontology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Program-level policy logic ontology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Custom build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12–18 month internal dev effort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Production-ready in weeks via API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THE LEXIPOINT DIFFERENTIATOR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Point Solutions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6B7280"/>
                <w:sz w:val="13"/>
                <w:szCs w:val="13"/>
              </w:rPr>
              <w:t xml:space="preserve">Solve one piece of the puzzle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7"/>
                <w:szCs w:val="17"/>
              </w:rPr>
              <w:t xml:space="preserve">LexiPoint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D32F3"/>
                <w:sz w:val="13"/>
                <w:szCs w:val="13"/>
              </w:rPr>
              <w:t xml:space="preserve">The missing middle layer</w:t>
            </w:r>
          </w:p>
        </w:tc>
      </w:tr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5"/>
                <w:szCs w:val="15"/>
              </w:rPr>
              <w:t xml:space="preserve">Each addresses a real pain: identity, fraud, documents, forms. But they’re all upstream or downstream of the core question: does this person meet the criteria? That question — and explaining, auditing, modeling the answer — is what’s missing.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5"/>
                <w:szCs w:val="15"/>
              </w:rPr>
              <w:t xml:space="preserve">Receives structured data from any source, reasons over codified policy, outputs an explainable, auditable decision. Complements every tool in the stack — every vendor here could be a partner.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“We’re not competing with ID.me or Socure — they verify who you are. We determine what you qualify for. Sequential, not competitive.”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“Civilla simplifies the form, ID.me verifies the person, LexiPoint determines eligibility, Salesforce manages the case. We’re the piece that makes the pipeline intelligent.”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GovTech AI is full of point solutions.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LexiPoint is the connective intelligence they’re all missing.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2026-03-22T23:49:10.370Z</dcterms:created>
  <dcterms:modified xsi:type="dcterms:W3CDTF">2026-03-22T23:49:10.370Z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